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</w:pPr>
      <w:bookmarkStart w:id="0" w:name="_Toc1013"/>
      <w:bookmarkStart w:id="1" w:name="_Toc256000002"/>
      <w:r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  <w:t>采样测尘标准作业流程</w:t>
      </w:r>
      <w:bookmarkEnd w:id="0"/>
      <w:bookmarkEnd w:id="1"/>
    </w:p>
    <w:p>
      <w:pPr>
        <w:pStyle w:val="5"/>
        <w:bidi w:val="0"/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</w:pPr>
      <w:r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  <w:t>3.1流程图</w:t>
      </w:r>
    </w:p>
    <w:p>
      <w:pPr>
        <w:bidi w:val="0"/>
        <w:spacing w:before="0" w:after="0" w:line="0" w:lineRule="atLeast"/>
        <w:ind w:left="0" w:right="0" w:firstLine="0"/>
        <w:jc w:val="center"/>
      </w:pPr>
      <w:r>
        <w:drawing>
          <wp:inline distT="0" distB="0" distL="114300" distR="114300">
            <wp:extent cx="3999230" cy="8555990"/>
            <wp:effectExtent l="0" t="0" r="127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855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ectPr>
          <w:footerReference r:id="rId3" w:type="default"/>
          <w:pgSz w:w="11906" w:h="16838"/>
          <w:pgMar w:top="283" w:right="567" w:bottom="283" w:left="567" w:header="283" w:footer="283" w:gutter="0"/>
          <w:cols w:space="720" w:num="1"/>
        </w:sectPr>
      </w:pPr>
    </w:p>
    <w:p>
      <w:pPr>
        <w:pStyle w:val="5"/>
        <w:bidi w:val="0"/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</w:pPr>
      <w:r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  <w:t>3.2流程概述</w:t>
      </w:r>
    </w:p>
    <w:tbl>
      <w:tblPr>
        <w:tblStyle w:val="3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23" w:type="dxa"/>
          <w:left w:w="23" w:type="dxa"/>
          <w:bottom w:w="0" w:type="dxa"/>
          <w:right w:w="23" w:type="dxa"/>
        </w:tblCellMar>
      </w:tblPr>
      <w:tblGrid>
        <w:gridCol w:w="3150"/>
        <w:gridCol w:w="4725"/>
        <w:gridCol w:w="3150"/>
        <w:gridCol w:w="47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流程名称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采样测尘标准作业流程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流程编号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流程说明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针对井工矿采样测尘的标准作业流程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适用范围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井工矿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流程接口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</w:tbl>
    <w:p>
      <w:pPr>
        <w:pStyle w:val="5"/>
        <w:bidi w:val="0"/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</w:pPr>
      <w:r>
        <w:rPr>
          <w:rFonts w:ascii="宋体" w:hAnsi="宋体" w:eastAsia="宋体" w:cs="宋体"/>
          <w:b/>
          <w:i w:val="0"/>
          <w:color w:val="000000"/>
          <w:sz w:val="24"/>
          <w:shd w:val="clear" w:color="auto" w:fill="auto"/>
          <w:lang w:val="zh-CN" w:eastAsia="zh-CN"/>
        </w:rPr>
        <w:t>3.3标准作业工单</w:t>
      </w:r>
    </w:p>
    <w:tbl>
      <w:tblPr>
        <w:tblStyle w:val="3"/>
        <w:tblW w:w="5000" w:type="pct"/>
        <w:tblInd w:w="2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23" w:type="dxa"/>
          <w:left w:w="23" w:type="dxa"/>
          <w:bottom w:w="0" w:type="dxa"/>
          <w:right w:w="23" w:type="dxa"/>
        </w:tblCellMar>
      </w:tblPr>
      <w:tblGrid>
        <w:gridCol w:w="787"/>
        <w:gridCol w:w="2048"/>
        <w:gridCol w:w="2363"/>
        <w:gridCol w:w="2993"/>
        <w:gridCol w:w="1890"/>
        <w:gridCol w:w="1890"/>
        <w:gridCol w:w="1890"/>
        <w:gridCol w:w="189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流程步骤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作业内容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作业标准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相关制度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作业表单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作业人员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DD8E6"/>
            <w:noWrap w:val="0"/>
            <w:tcMar>
              <w:left w:w="23" w:type="dxa"/>
            </w:tcMar>
            <w:vAlign w:val="center"/>
          </w:tcPr>
          <w:p>
            <w:pPr>
              <w:pStyle w:val="6"/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2"/>
                <w:shd w:val="clear" w:color="auto" w:fill="ADD8E6"/>
                <w:lang w:val="zh-CN" w:eastAsia="zh-CN"/>
              </w:rPr>
              <w:t>危险源及风险后果提示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1-1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准备工器具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1）检查采样仪器外观及电量；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2）检查采样工器具；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3）准备劳动防护用品。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1）采样仪器电量充足、外表完好清洁、备件齐全，电键、旋转按钮灵敏可靠，计时器显示准确；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2）采样仪支架、温度计、秒表等完好，采样记录本、样品盒等齐全；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3）个人劳动防护用品齐全、完好。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《煤矿工人安全技术操作规程》（目录：测尘工）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1-2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准备滤膜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1）待用的滤膜放入干燥皿干燥24小时或放入烤箱温度65摄氏度以下烘干30分钟，要使用的滤膜盒依次编号；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2）称重时用镊子取下滤膜两面的夹衬纸并编号（与所用的滤膜盒对应），将滤膜置于天平上称量至恒重（每5秒钟称一次，相邻两次称量的质量差不超过0.1毫克），并记录质量。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1）滤膜称重准确，记录规范；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2）原始记录表、采样滤膜齐全。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《煤矿工人安全技术操作规程》（目录：测尘工）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制作采样头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1）直径40毫米滤膜采样头制作程序：打开对应滤膜盒，旋开滤膜夹的固定盖，用镊子将已称量的滤膜毛面向上平铺在锥形环上，再将固定盖套上并拧紧；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直径75毫米滤膜（漏斗形）采样头制作程序：打开对应滤膜盒，旋开滤膜夹的固定盖，用镊子将已称量的滤膜毛面向内对折两次成90度角的扇形，然后张开成漏斗状，置于固定盖内，使滤膜紧贴固定盖的内锥面，用锥形环压紧滤膜的周边，将螺丝底座拧入固定盖内，用圆头玻璃棒将滤膜漏斗的锥顶推向对侧，在固定的另一方向形成滤膜漏斗，将装好的滤膜夹放入带有编号的滤膜盒内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1）固定滤膜无皱褶、无裂隙；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2）滤膜边缘不脱出固定盖内锥面；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3）重新固定或更换滤膜，将好的滤膜夹放入带有编号的滤膜盒内。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《煤矿工人安全技术操作规程》（目录：测尘工）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检查作业环境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1）检查作业地点通风及有毒、有害气体情况；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2）检查作业地点巷道支护情况。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1）通风良好，有毒有害气体浓度符合规定；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2）巷道支护良好，无漏顶、无片帮；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3）作业环境无杂物、无淤泥积水。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《煤矿安全规程》第一百零四条、第一百三十五条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1）未检查或检查不到位，冒然进入缺氧或有毒有害气体超限的地点作业，易造成人员窒息、中毒；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2）巷道支护不完好、检查不到位，易造成顶板冒落、片帮伤人。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选择测点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1）采样点设在回风流，采样高度同作业人员呼吸带；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2）掘进工作面采样点选择回风流，距装煤（岩）、打眼、喷浆地点4～5米；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3）机采面采样点选择煤机回风侧，距煤机10～15米；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4）采面多工序作业，采样点选择回风巷距工作面10～15米处；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5）转载点采样点在转载点回风侧3米处；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6）其他产尘场所采样点，不妨碍工人操作，靠近工人作业呼吸带。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采样点选点位置、测点高度符合规定。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《煤矿安全规程》第六百四十三条、《煤矿安全技术操作规程》（目录：测尘工）、MT79-1984《粉尘浓度和分散度测定办法》第二条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1）作业地点粉尘浓度超标，作业人员长时间作业易产生职业病；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2）人员经过设备运行区域，易造成设备挤伤人员。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称重式采样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1）将采样架平稳地放置在采样点；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2）根据粉尘浓度大小，选择不同规格的采样滤膜；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3）取出准备好的滤膜，迅速装入采样头中拧紧螺盖，启动电源开关，迅速调节流量旋钮，使流量保持在20升/分钟，计时结束，取出滤膜，放入采样袋，填写采样记录。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1）采样头正面迎向含尘风流，当迎向含尘气流无法避免飞溅的泥浆、砂粒对样品污染时，受尘面可以侧向；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2）粉尘浓度小于50毫克/立方米，选用40毫米直径的滤膜；粉尘浓度50毫克/立方米以上，选用75毫米直径滤膜；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3）连续性作业产尘点，生产状态5分钟后采样，间断性作业产尘点，应在工人作业时采样。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《煤矿安全技术操作规程》（目录：测尘工）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测尘原始记录表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烘干滤膜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将采样的滤膜放入干燥皿干燥1小时，若采样现场有水雾或滤膜表面有水珠，要将滤膜放入烤箱温度60-65摄氏度烘干2小时，在放入干燥器内干燥30分钟。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滤膜干燥时间、干燥度符合规定。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《煤矿工人安全技术操作规程》（目录：测尘工）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称重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打开天平右侧气室门，用小镊子将要称的滤膜小心放入称盘中央，关闭侧门。估计样品重量，轻旋读数指示盘至相应重量；缓慢开启天平，观察指针偏移的速度和方向，待天平指针稳定后，按挂码重量从大到小记录其读数，轻轻关闭天平。轻轻取下样品，将读数指示盘恢复到零位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 xml:space="preserve">2）缓慢开启天平，检查天平的零点位置；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3）天平的零点位置对准标准刻度线，然后关闭天平，将天平恢复原状后罩好天平；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4）填写测量记录表。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1）测量数据准确，操作天平步骤符合规定；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2）测量记录填写规范。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测量记录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分析计算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1）粉尘浓度按下列公式进行计算：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C=（M2-M1）÷QT×1000；式中：C—粉尘浓度，毫克/立方米；M1—采样前滤膜的质量，毫克； M2—采样后滤膜的质量，毫克； T—采样时间，分钟；Q—采样流量，升/分钟；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2）分析采样结果，填写测量记录。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1）粉尘浓度分析计算准确；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2）记录填写详实、规范。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《煤矿工人安全技术操作规程》（目录：测尘工）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测量记录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23" w:type="dxa"/>
            <w:left w:w="23" w:type="dxa"/>
            <w:bottom w:w="0" w:type="dxa"/>
            <w:right w:w="23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8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制作报表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根据测量记录编制测尘报表。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1）井下作业地点总粉尘浓度每月测定2次，地面总粉尘浓度每月测定1次；呼吸性粉尘，采掘面每月测定1次，其他地点每3个月测定1次；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br w:type="textWrapping"/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2）报表填写规范、数据准确。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《煤矿安全规程》第六百四十二条、《煤矿安全技术操作规程》（目录：测尘工）、AQ1020-2006《煤矿井下粉尘综合防治规范》第5条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测尘报表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  <w:t>测尘工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left w:w="23" w:type="dxa"/>
            </w:tcMar>
            <w:vAlign w:val="center"/>
          </w:tcPr>
          <w:p>
            <w:pPr>
              <w:pStyle w:val="7"/>
              <w:rPr>
                <w:rFonts w:ascii="宋体" w:hAnsi="宋体" w:eastAsia="宋体" w:cs="宋体"/>
                <w:b w:val="0"/>
                <w:i w:val="0"/>
                <w:color w:val="000000"/>
                <w:sz w:val="22"/>
                <w:shd w:val="clear" w:color="auto" w:fill="auto"/>
                <w:lang w:val="zh-CN" w:eastAsia="zh-CN"/>
              </w:rPr>
            </w:pPr>
          </w:p>
        </w:tc>
      </w:tr>
    </w:tbl>
    <w:p>
      <w:pPr>
        <w:bidi w:val="0"/>
        <w:jc w:val="left"/>
        <w:sectPr>
          <w:footerReference r:id="rId4" w:type="default"/>
          <w:pgSz w:w="16838" w:h="11906" w:orient="landscape"/>
          <w:pgMar w:top="283" w:right="567" w:bottom="283" w:left="567" w:header="283" w:footer="283" w:gutter="0"/>
          <w:cols w:space="720" w:num="1"/>
        </w:sectPr>
      </w:pP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  <w:spacing w:before="0" w:after="0" w:line="0" w:lineRule="atLeast"/>
      <w:ind w:left="0" w:right="0" w:firstLine="0"/>
      <w:jc w:val="center"/>
    </w:pPr>
    <w:r>
      <w:rPr>
        <w:rFonts w:ascii="宋体" w:hAnsi="宋体" w:eastAsia="宋体" w:cs="宋体"/>
        <w:b w:val="0"/>
        <w:i w:val="0"/>
        <w:color w:val="000000"/>
        <w:sz w:val="18"/>
        <w:shd w:val="clear" w:color="auto" w:fill="auto"/>
        <w:lang w:val="zh-CN" w:eastAsia="zh-CN"/>
      </w:rPr>
      <w:t>第-</w:t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fldChar w:fldCharType="begin"/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instrText xml:space="preserve">PAGE</w:instrText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fldChar w:fldCharType="separate"/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t>9</w:t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fldChar w:fldCharType="end"/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t>-页</w:t>
    </w:r>
  </w:p>
  <w:p>
    <w:pPr>
      <w:bidi w:val="0"/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  <w:spacing w:before="0" w:after="0" w:line="0" w:lineRule="atLeast"/>
      <w:ind w:left="0" w:right="0" w:firstLine="0"/>
      <w:jc w:val="center"/>
    </w:pPr>
    <w:r>
      <w:rPr>
        <w:rFonts w:ascii="宋体" w:hAnsi="宋体" w:eastAsia="宋体" w:cs="宋体"/>
        <w:b w:val="0"/>
        <w:i w:val="0"/>
        <w:color w:val="000000"/>
        <w:sz w:val="18"/>
        <w:shd w:val="clear" w:color="auto" w:fill="auto"/>
        <w:lang w:val="zh-CN" w:eastAsia="zh-CN"/>
      </w:rPr>
      <w:t>第-</w:t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fldChar w:fldCharType="begin"/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instrText xml:space="preserve">PAGE</w:instrText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fldChar w:fldCharType="separate"/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t>13</w:t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fldChar w:fldCharType="end"/>
    </w:r>
    <w:r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  <w:t>-页</w:t>
    </w:r>
  </w:p>
  <w:p>
    <w:pPr>
      <w:bidi w:val="0"/>
      <w:rPr>
        <w:rFonts w:ascii="宋体" w:hAnsi="宋体" w:eastAsia="宋体" w:cs="宋体"/>
        <w:b w:val="0"/>
        <w:i w:val="0"/>
        <w:color w:val="000000"/>
        <w:sz w:val="18"/>
        <w:u w:val="none"/>
        <w:shd w:val="clear" w:color="auto" w:fill="auto"/>
        <w:lang w:val="zh-CN" w:eastAsia="zh-C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F3D67"/>
    <w:rsid w:val="745F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0" w:after="0" w:line="288" w:lineRule="atLeast"/>
      <w:ind w:left="0" w:right="0" w:firstLine="0"/>
      <w:jc w:val="left"/>
      <w:outlineLvl w:val="0"/>
    </w:pPr>
    <w:rPr>
      <w:rFonts w:ascii="宋体" w:hAnsi="宋体" w:eastAsia="宋体" w:cs="宋体"/>
      <w:b/>
      <w:bCs/>
      <w:color w:val="000000"/>
      <w:kern w:val="32"/>
      <w:sz w:val="24"/>
      <w:szCs w:val="32"/>
      <w:u w:val="none"/>
      <w:shd w:val="clear" w:color="auto" w:fill="auto"/>
      <w:lang w:val="zh-CN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1TEXT"/>
    <w:uiPriority w:val="0"/>
    <w:pPr>
      <w:spacing w:before="0" w:after="0" w:line="288" w:lineRule="atLeast"/>
      <w:ind w:left="57" w:right="0" w:firstLine="0"/>
      <w:jc w:val="left"/>
    </w:pPr>
    <w:rPr>
      <w:rFonts w:ascii="宋体" w:hAnsi="宋体" w:eastAsia="宋体" w:cs="宋体"/>
      <w:b/>
      <w:color w:val="000000"/>
      <w:sz w:val="24"/>
      <w:u w:val="none"/>
      <w:shd w:val="clear" w:color="auto" w:fill="auto"/>
      <w:lang w:val="zh-CN" w:eastAsia="zh-CN"/>
    </w:rPr>
  </w:style>
  <w:style w:type="paragraph" w:customStyle="1" w:styleId="6">
    <w:name w:val="TABLE_HEAD_BOLD"/>
    <w:uiPriority w:val="0"/>
    <w:pPr>
      <w:spacing w:before="0" w:after="0" w:line="264" w:lineRule="atLeast"/>
      <w:ind w:left="0" w:right="0" w:firstLine="0"/>
      <w:jc w:val="center"/>
    </w:pPr>
    <w:rPr>
      <w:rFonts w:ascii="宋体" w:hAnsi="宋体" w:eastAsia="宋体" w:cs="宋体"/>
      <w:b/>
      <w:color w:val="000000"/>
      <w:sz w:val="22"/>
      <w:u w:val="none"/>
      <w:shd w:val="clear" w:color="auto" w:fill="ADD8E6"/>
      <w:lang w:val="zh-CN" w:eastAsia="zh-CN"/>
    </w:rPr>
  </w:style>
  <w:style w:type="paragraph" w:customStyle="1" w:styleId="7">
    <w:name w:val="TABLE_HEAD_ITEM"/>
    <w:uiPriority w:val="0"/>
    <w:pPr>
      <w:spacing w:before="0" w:after="0" w:line="264" w:lineRule="atLeast"/>
      <w:ind w:left="0" w:right="0" w:firstLine="0"/>
      <w:jc w:val="left"/>
    </w:pPr>
    <w:rPr>
      <w:rFonts w:ascii="宋体" w:hAnsi="宋体" w:eastAsia="宋体" w:cs="宋体"/>
      <w:color w:val="000000"/>
      <w:sz w:val="22"/>
      <w:u w:val="none"/>
      <w:shd w:val="clear" w:color="auto" w:fill="auto"/>
      <w:lang w:val="zh-CN" w:eastAsia="zh-CN"/>
    </w:rPr>
  </w:style>
  <w:style w:type="paragraph" w:customStyle="1" w:styleId="8">
    <w:name w:val="TABLE_ITEM_CENTER"/>
    <w:uiPriority w:val="0"/>
    <w:pPr>
      <w:spacing w:before="0" w:after="0" w:line="264" w:lineRule="atLeast"/>
      <w:ind w:left="0" w:right="0" w:firstLine="0"/>
      <w:jc w:val="center"/>
    </w:pPr>
    <w:rPr>
      <w:rFonts w:ascii="宋体" w:hAnsi="宋体" w:eastAsia="宋体" w:cs="宋体"/>
      <w:color w:val="000000"/>
      <w:sz w:val="22"/>
      <w:u w:val="none"/>
      <w:shd w:val="clear" w:color="auto" w:fill="auto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2020-06-03T13:58:00Z</dcterms:created>
  <dc:creator>蒋永华</dc:creator>
  <cp:lastModifiedBy>蒋永华</cp:lastModifiedBy>
  <dcterms:modified xsi:type="dcterms:W3CDTF">2020-06-03T13:59:56Z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